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200"/>
        <w:jc w:val="center"/>
      </w:pPr>
      <w:r>
        <w:rPr>
          <w:b/>
          <w:bCs/>
          <w:color w:val="1F4E79"/>
          <w:sz w:val="60"/>
          <w:szCs w:val="60"/>
        </w:rPr>
        <w:t xml:space="preserve">PROJECT BRODY</w:t>
      </w:r>
    </w:p>
    <w:p>
      <w:pPr>
        <w:spacing w:before="120"/>
        <w:jc w:val="center"/>
      </w:pPr>
      <w:r>
        <w:rPr>
          <w:color w:val="595959"/>
          <w:sz w:val="34"/>
          <w:szCs w:val="34"/>
        </w:rPr>
        <w:t xml:space="preserve">Business Plan</w:t>
      </w:r>
    </w:p>
    <w:p>
      <w:pPr>
        <w:spacing w:before="60"/>
        <w:jc w:val="center"/>
      </w:pPr>
      <w:r>
        <w:rPr>
          <w:i/>
          <w:iCs/>
          <w:color w:val="595959"/>
          <w:sz w:val="22"/>
          <w:szCs w:val="22"/>
        </w:rPr>
        <w:t xml:space="preserve">Helping Guangdong C&amp;I customers survive the 15-minute spot market — and aggregating them into a VPP</w:t>
      </w:r>
    </w:p>
    <w:p>
      <w:pPr>
        <w:pBdr>
          <w:top w:val="single" w:color="2E75B6" w:sz="6" w:space="6"/>
        </w:pBdr>
        <w:spacing w:before="1400"/>
        <w:jc w:val="center"/>
      </w:pPr>
      <w:r>
        <w:rPr>
          <w:sz w:val="2"/>
          <w:szCs w:val="2"/>
        </w:rPr>
        <w:t xml:space="preserve"/>
      </w:r>
    </w:p>
    <w:p>
      <w:pPr>
        <w:spacing w:before="240"/>
        <w:jc w:val="center"/>
      </w:pPr>
      <w:r>
        <w:rPr>
          <w:color w:val="595959"/>
          <w:sz w:val="22"/>
          <w:szCs w:val="22"/>
        </w:rPr>
        <w:t xml:space="preserve">Prepared for: Lan  •  June 24, 2026  •  v2 (reworked thesis)</w:t>
      </w:r>
    </w:p>
    <w:p>
      <w:r>
        <w:br w:type="page"/>
      </w:r>
    </w:p>
    <w:p>
      <w:pPr>
        <w:pStyle w:val="Heading1"/>
      </w:pPr>
      <w:r>
        <w:t xml:space="preserve">Contents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 The Thesis</w:t>
      </w:r>
    </w:p>
    <w:p>
      <w:pPr>
        <w:spacing w:after="130" w:before="0" w:line="278"/>
      </w:pPr>
      <w:r>
        <w:t xml:space="preserve">Guangdong is forcing its commercial &amp; industrial (C&amp;I) electricity users out of stable flat / time-of-use tariffs and into a market priced on </w:t>
      </w:r>
      <w:r>
        <w:rPr>
          <w:b/>
          <w:bCs/>
        </w:rPr>
        <w:t xml:space="preserve">15-minute spot intervals</w:t>
      </w:r>
      <w:r>
        <w:t xml:space="preserve">. Most of these customers have no in-house capability to understand, hedge, or optimize against this volatility — and the electricity retailers (售电公司) meant to shield them are, by the industry's own admission, mostly not equipped to do it either.</w:t>
      </w:r>
    </w:p>
    <w:p>
      <w:pPr>
        <w:spacing w:after="130" w:before="0" w:line="278"/>
      </w:pPr>
      <w:r>
        <w:t xml:space="preserve">Project Brody's wedge is to be the </w:t>
      </w:r>
      <w:r>
        <w:rPr>
          <w:b/>
          <w:bCs/>
        </w:rPr>
        <w:t xml:space="preserve">capability layer for this forced transition</w:t>
      </w:r>
      <w:r>
        <w:t xml:space="preserve">: software + managed service that lets a C&amp;I customer move into the spot market without getting hurt. We land customers during the migration, take over the optimization of their consumption and on-site assets, and then </w:t>
      </w:r>
      <w:r>
        <w:rPr>
          <w:b/>
          <w:bCs/>
        </w:rPr>
        <w:t xml:space="preserve">aggregate their flexible load and storage into a Virtual Power Plant (VPP)</w:t>
      </w:r>
      <w:r>
        <w:t xml:space="preserve"> that participates directly in the energy, ancillary-service and demand-response markets. The endgame is the VPP; the entry point is the pain of transition.</w:t>
      </w:r>
    </w:p>
    <w:p>
      <w:pPr>
        <w:pStyle w:val="Heading3"/>
      </w:pPr>
      <w:r>
        <w:t xml:space="preserve">Why this is stronger than a trading-algorithm pitch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Regulatory urgency sells. </w:t>
      </w:r>
      <w:r>
        <w:t xml:space="preserve">Customers must act on a deadline, not a “nice-to-have.”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Revenue starts before the hardest tech is proven. </w:t>
      </w:r>
      <w:r>
        <w:t xml:space="preserve">Transition advisory and bill optimization earn money without a world-beating price model.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The moat is the customer book + aggregated capacity + market standing — not a better algorithm. </w:t>
      </w:r>
      <w:r>
        <w:t xml:space="preserve">These compound and create switching costs.</w:t>
      </w:r>
    </w:p>
    <w:p>
      <w:pPr>
        <w:pStyle w:val="Heading1"/>
      </w:pPr>
      <w:r>
        <w:t xml:space="preserve">2.  The Market Opportunity</w:t>
      </w:r>
    </w:p>
    <w:p>
      <w:pPr>
        <w:spacing w:after="130" w:before="0" w:line="278"/>
      </w:pPr>
      <w:r>
        <w:t xml:space="preserve">China's reform is abolishing the regulated retail tariff for C&amp;I users in spot-active provinces and pushing real-time price signals to the end user. Guangdong's spot market has run officially since end-2023 and clears on 15-minute locational prices.</w:t>
      </w:r>
    </w:p>
    <w:p>
      <w:pPr>
        <w:spacing w:after="130" w:before="0" w:line="278"/>
      </w:pPr>
      <w:r>
        <w:t xml:space="preserve">The migration is large and </w:t>
      </w:r>
      <w:r>
        <w:rPr>
          <w:b/>
          <w:bCs/>
        </w:rPr>
        <w:t xml:space="preserve">mostly not yet done</w:t>
      </w:r>
      <w:r>
        <w:t xml:space="preserve">, which is the opportunity: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Implication for Brody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~88% of Guangdong's signed C&amp;I volume is still on fixed-price / TOU contracts, not real-time spot.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 huge base remains un-migrated. The land-grab window is open now.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10kV+ users and industrial users ≥ 5 GWh/yr are pushed into direct market participation; smaller users default to grid agency purchasing (代购电).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Clear, addressable “must-act” segment at the top; a long tail below it.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Even agency-purchase users are increasingly settled against spot allocation costs and peak/valley ratios.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Volatility exposure reaches well beyond the largest users.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~313 售电公司 in Guangdong (end-2023), ~85% small independents; documented as weak on price forecasting and risk management.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The intended “shield” layer is itself a customer/partner for capability.</w:t>
            </w:r>
          </w:p>
        </w:tc>
      </w:tr>
    </w:tbl>
    <w:p>
      <w:pPr>
        <w:pStyle w:val="Heading1"/>
      </w:pPr>
      <w:r>
        <w:t xml:space="preserve">3.  The Problem We Solve</w:t>
      </w:r>
    </w:p>
    <w:p>
      <w:pPr>
        <w:spacing w:after="130" w:before="0" w:line="278"/>
      </w:pPr>
      <w:r>
        <w:t xml:space="preserve">For a factory or commercial operator, moving from a predictable tariff to 15-minute spot pricing introduces problems they have never had to manage: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t xml:space="preserve">Bill uncertainty — monthly costs now swing with wholesale volatility, including price spikes and negative midday prices.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t xml:space="preserve">Contract decisions — how much to lock in medium/long-term vs leave on spot, and at what ratio (with deviation penalties if they get it wrong).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t xml:space="preserve">Operational blind spots — they don't know which loads to shift, when, or what it saves; demand charges (32 CNY/kVA) remain a large, separate cost.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t xml:space="preserve">No talent — the required “power-trading + storage operations” composite team does not exist in a typical C&amp;I business, and is scarce even among retailers.</w:t>
      </w:r>
    </w:p>
    <w:p>
      <w:pPr>
        <w:spacing w:after="130" w:before="0" w:line="278"/>
      </w:pPr>
      <w:r>
        <w:t xml:space="preserve">Brody removes this burden: the customer keeps running their business; we manage their market exposure and optimize their consumption and assets.</w:t>
      </w:r>
    </w:p>
    <w:p>
      <w:pPr>
        <w:pStyle w:val="Heading1"/>
      </w:pPr>
      <w:r>
        <w:t xml:space="preserve">4.  Solution &amp; Product — a Staged Journey</w:t>
      </w:r>
    </w:p>
    <w:p>
      <w:pPr>
        <w:spacing w:after="130" w:before="0" w:line="278"/>
      </w:pPr>
      <w:r>
        <w:t xml:space="preserve">The product matures with the customer relationship. Each stage funds and de-risks the next.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400"/>
        <w:gridCol w:w="4460"/>
      </w:tblGrid>
      <w:tr>
        <w:trPr>
          <w:tblHeader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What we deliver</w:t>
            </w:r>
          </w:p>
        </w:tc>
        <w:tc>
          <w:tcPr>
            <w:tcW w:type="dxa" w:w="4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Why the customer pays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1. Transition &amp; EMS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Bill simulation under 15-min spot; contract/hedge what-if; exposure dashboard; managed market participation; demand-charge &amp; load-shift advice.</w:t>
            </w:r>
          </w:p>
        </w:tc>
        <w:tc>
          <w:tcPr>
            <w:tcW w:type="dxa" w:w="4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Avoids bill shock and deviation penalties; turns an unmanaged risk into a managed cost. Earns money without needing a best-in-class forecaster.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2. Asset operation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Deploy / contract on-site BESS and controllable loads; optimize charge/discharge and load scheduling against spot + demand charges.</w:t>
            </w:r>
          </w:p>
        </w:tc>
        <w:tc>
          <w:tcPr>
            <w:tcW w:type="dxa" w:w="4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Hard CNY savings and new revenue from the asset; we run what they can't.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3. VPP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Aggregate the installed base of flexible load + storage; bid into energy, ancillary services and demand response as one dispatchable portfolio.</w:t>
            </w:r>
          </w:p>
        </w:tc>
        <w:tc>
          <w:tcPr>
            <w:tcW w:type="dxa" w:w="4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Scale unlocks market revenue and dispatch compensation unavailable to any single small site.</w:t>
            </w:r>
          </w:p>
        </w:tc>
      </w:tr>
    </w:tbl>
    <w:p>
      <w:pPr>
        <w:spacing w:after="130" w:before="0" w:line="278"/>
      </w:pPr>
      <w:r>
        <w:t xml:space="preserve">Stages 2–3 are exactly where the existing codebase (BESS optimizer, backtester, market adapters, data pipeline) becomes the engine. Stage 1 is a </w:t>
      </w:r>
      <w:r>
        <w:rPr>
          <w:b/>
          <w:bCs/>
        </w:rPr>
        <w:t xml:space="preserve">new, customer-facing product</w:t>
      </w:r>
      <w:r>
        <w:t xml:space="preserve"> that does not yet exist in the repo — see Section 10.</w:t>
      </w:r>
    </w:p>
    <w:p>
      <w:pPr>
        <w:pStyle w:val="Heading1"/>
      </w:pPr>
      <w:r>
        <w:t xml:space="preserve">5.  Business Model &amp; Revenue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3860"/>
      </w:tblGrid>
      <w:tr>
        <w:trPr>
          <w:tblHeader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4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Revenue mechanism</w:t>
            </w:r>
          </w:p>
        </w:tc>
        <w:tc>
          <w:tcPr>
            <w:tcW w:type="dxa" w:w="3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SaaS subscription per site + onboarding/setup fee; optional savings-share on bill reduction; managed-service fee for market participation.</w:t>
            </w:r>
          </w:p>
        </w:tc>
        <w:tc>
          <w:tcPr>
            <w:tcW w:type="dxa" w:w="3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Recurring, software-margin, low capital.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Optimization/O&amp;M fee + share of arbitrage and demand-charge savings; EMC / capacity-lease structures for deployed storage.</w:t>
            </w:r>
          </w:p>
        </w:tc>
        <w:tc>
          <w:tcPr>
            <w:tcW w:type="dxa" w:w="3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Higher value per site; some capital or financing partner needed.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4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Share of VPP market revenue + dispatch/demand-response compensation; platform take-rate across aggregated assets.</w:t>
            </w:r>
          </w:p>
        </w:tc>
        <w:tc>
          <w:tcPr>
            <w:tcW w:type="dxa" w:w="3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Scale economics; the long-term profit engine.</w:t>
            </w:r>
          </w:p>
        </w:tc>
      </w:tr>
    </w:tbl>
    <w:p>
      <w:pPr>
        <w:spacing w:after="130" w:before="0" w:line="278"/>
      </w:pPr>
      <w:r>
        <w:t xml:space="preserve">The progression moves from high-margin software (Stage 1) to asset-linked value (Stage 2) to a scaled market-facing platform (Stage 3) — with each stage deepening switching costs.</w:t>
      </w:r>
    </w:p>
    <w:p>
      <w:pPr>
        <w:pStyle w:val="Heading1"/>
      </w:pPr>
      <w:r>
        <w:t xml:space="preserve">6.  First Customers &amp; Go-to-Market</w:t>
      </w:r>
    </w:p>
    <w:p>
      <w:pPr>
        <w:spacing w:after="130" w:before="0" w:line="278"/>
      </w:pPr>
      <w:r>
        <w:t xml:space="preserve">Prioritize by </w:t>
      </w:r>
      <w:r>
        <w:rPr>
          <w:i/>
          <w:iCs/>
        </w:rPr>
        <w:t xml:space="preserve">acuteness of pain × ease of landing × value of their flexibility</w:t>
      </w:r>
      <w:r>
        <w:t xml:space="preserve">. Four segments, ranked:</w:t>
      </w:r>
    </w:p>
    <w:p>
      <w:pPr>
        <w:pStyle w:val="Heading3"/>
      </w:pPr>
      <w:r>
        <w:t xml:space="preserve">A.  Large flexible-load C&amp;I forced into direct participation (primary beachhead)</w:t>
      </w:r>
    </w:p>
    <w:p>
      <w:pPr>
        <w:spacing w:after="130" w:before="0" w:line="278"/>
      </w:pPr>
      <w:r>
        <w:t xml:space="preserve">10kV+ / ≥5 GWh/yr sites that cannot hide in agency purchasing and have shiftable load. In the Pearl River Delta these include: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t xml:space="preserve">Cold-chain / cold storage, ice plants, water treatment &amp; pumping — large thermal inertia, easy to shift.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t xml:space="preserve">Electroplating / printing-dyeing (印染) parks, plastics injection, building materials — energy-intensive, schedulable.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t xml:space="preserve">Data centers (IDC) — large, sophisticated buyers with budget and some flexibility; high willingness to pay.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t xml:space="preserve">EV charging / battery-swap operators — natively flexible and growing fast.</w:t>
      </w:r>
    </w:p>
    <w:p>
      <w:pPr>
        <w:pStyle w:val="Heading3"/>
      </w:pPr>
      <w:r>
        <w:t xml:space="preserve">B.  Industrial parks (园区) — the aggregation accelerant</w:t>
      </w:r>
    </w:p>
    <w:p>
      <w:pPr>
        <w:spacing w:after="130" w:before="0" w:line="278"/>
      </w:pPr>
      <w:r>
        <w:t xml:space="preserve">One park is a single sales motion that yields many tenants </w:t>
      </w:r>
      <w:r>
        <w:rPr>
          <w:i/>
          <w:iCs/>
        </w:rPr>
        <w:t xml:space="preserve">and</w:t>
      </w:r>
      <w:r>
        <w:t xml:space="preserve"> a natural VPP node with co-located load and storage. Parks compress customer acquisition cost and seed Stage 3 capacity simultaneously — the highest-leverage entry point.</w:t>
      </w:r>
    </w:p>
    <w:p>
      <w:pPr>
        <w:pStyle w:val="Heading3"/>
      </w:pPr>
      <w:r>
        <w:t xml:space="preserve">C.  Existing C&amp;I storage (工商储) owners</w:t>
      </w:r>
    </w:p>
    <w:p>
      <w:pPr>
        <w:spacing w:after="130" w:before="0" w:line="278"/>
      </w:pPr>
      <w:r>
        <w:t xml:space="preserve">A large installed base whose owners are explicitly short on dispatch/trading capability and are shifting from arbitrage to “asset operation.” They map directly onto Stage 2 and the current codebase — fast technical proof points.</w:t>
      </w:r>
    </w:p>
    <w:p>
      <w:pPr>
        <w:pStyle w:val="Heading3"/>
      </w:pPr>
      <w:r>
        <w:t xml:space="preserve">D.  Small/medium 售电公司 — a B2B channel (and a strategic question)</w:t>
      </w:r>
    </w:p>
    <w:p>
      <w:pPr>
        <w:spacing w:after="130" w:before="0" w:line="278"/>
      </w:pPr>
      <w:r>
        <w:t xml:space="preserve">The ~265 small independent retailers have customers and a license but lack capability. Selling them white-label forecasting / risk / trading-as-a-service is the </w:t>
      </w:r>
      <w:r>
        <w:rPr>
          <w:b/>
          <w:bCs/>
        </w:rPr>
        <w:t xml:space="preserve">fastest way to reach many C&amp;I sites at once</w:t>
      </w:r>
      <w:r>
        <w:t xml:space="preserve"> — one sale = a book. See Section 7 for the competitive nuance.</w:t>
      </w:r>
    </w:p>
    <w:p>
      <w:pPr>
        <w:pStyle w:val="Heading3"/>
      </w:pPr>
      <w:r>
        <w:t xml:space="preserve">Recommended beachhead</w:t>
      </w:r>
    </w:p>
    <w:p>
      <w:pPr>
        <w:spacing w:after="130" w:before="0" w:line="278"/>
      </w:pPr>
      <w:r>
        <w:t xml:space="preserve">Start with PRD industrial parks and flexible-load large C&amp;I (Segments A+B) in Dongguan / Foshan / Shenzhen, while running a parallel B2B pilot with one or two small retailers (Segment D). Note: the repo already holds load profiles for Foshan, Guangzhou, Huizhou, Jiangmen, Shenzhen and Zhongshan C&amp;I companies — these are the target archetypes, and that data is a real head start for product and sales.</w:t>
      </w:r>
    </w:p>
    <w:p>
      <w:pPr>
        <w:pStyle w:val="Heading1"/>
      </w:pPr>
      <w:r>
        <w:t xml:space="preserve">7.  Competitive Landscape — and Can 售电公司 Trade?</w:t>
      </w:r>
    </w:p>
    <w:p>
      <w:pPr>
        <w:pStyle w:val="Heading3"/>
      </w:pPr>
      <w:r>
        <w:t xml:space="preserve">Can the retailers do trading themselves?</w:t>
      </w:r>
    </w:p>
    <w:p>
      <w:pPr>
        <w:spacing w:after="130" w:before="0" w:line="278"/>
      </w:pPr>
      <w:r>
        <w:t xml:space="preserve">Legally, yes — they hold the market standing. In practice, </w:t>
      </w:r>
      <w:r>
        <w:rPr>
          <w:b/>
          <w:bCs/>
        </w:rPr>
        <w:t xml:space="preserve">most cannot do it well</w:t>
      </w:r>
      <w:r>
        <w:t xml:space="preserve">. Guangdong's ~313 retailers are ~85% small independents, and the industry's own diagnosis is that they have insufficient spot price-forecasting ability, no multi-scenario trading strategy, no storage dispatch capability, and are exposed to deviation-assessment (偏差考核) penalties they struggle to manage. The published recommendation to them is to “build or buy” a technical support system with forecasting and load-prediction functions.</w:t>
      </w:r>
    </w:p>
    <w:p>
      <w:pPr>
        <w:spacing w:after="130" w:before="0" w:line="278"/>
      </w:pPr>
      <w:r>
        <w:t xml:space="preserve">This means the retailers are three things to Brody at once: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How we treat them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Competitor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For the direct C&amp;I relationship — but most compete only on price/channel, not capability. We win on optimization, storage and VPP upside.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Customer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Sell them the capability layer (forecasting, risk, trading-as-a-service). Fast B2B revenue; they bring the customer book.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Partner / acquisition</w:t>
            </w:r>
          </w:p>
        </w:tc>
        <w:tc>
          <w:tcPr>
            <w:tcW w:type="dxa" w:w="7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 retail license + customer book is a shortcut to market standing. Partnering with or acquiring a weak retailer can fast-track Stages 1–3.</w:t>
            </w:r>
          </w:p>
        </w:tc>
      </w:tr>
    </w:tbl>
    <w:p>
      <w:pPr>
        <w:pStyle w:val="Heading3"/>
      </w:pPr>
      <w:r>
        <w:t xml:space="preserve">Other competitors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Genco-/grid-backed retailers &amp; large energy groups </w:t>
      </w:r>
      <w:r>
        <w:t xml:space="preserve">— the minority that are building real trading teams; the serious long-term rivals.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EMS / C&amp;I storage integrators </w:t>
      </w:r>
      <w:r>
        <w:t xml:space="preserve">— strong on hardware, generally weak on market optimization and VPP aggregation.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Global analogues (Fluence Mosaic, Habitat, Gridmatic) </w:t>
      </w:r>
      <w:r>
        <w:t xml:space="preserve">— validate the model but are not localized to Guangdong rules, data access or customer relationships.</w:t>
      </w:r>
    </w:p>
    <w:p>
      <w:pPr>
        <w:pStyle w:val="Heading1"/>
      </w:pPr>
      <w:r>
        <w:t xml:space="preserve">8.  The VPP Endgame</w:t>
      </w:r>
    </w:p>
    <w:p>
      <w:pPr>
        <w:spacing w:after="130" w:before="0" w:line="278"/>
      </w:pPr>
      <w:r>
        <w:t xml:space="preserve">Guangdong has run VPP pilots since ~2020, aggregating C&amp;I adjustable load, storage, EV charging and distributed PV under provincial dispatch and compensation mechanisms — so the channel exists. The strategic point: </w:t>
      </w:r>
    </w:p>
    <w:p>
      <w:pPr>
        <w:spacing w:after="130" w:before="0" w:line="278"/>
      </w:pPr>
      <w:r>
        <w:t xml:space="preserve">A VPP needs </w:t>
      </w:r>
      <w:r>
        <w:rPr>
          <w:i/>
          <w:iCs/>
        </w:rPr>
        <w:t xml:space="preserve">controllable</w:t>
      </w:r>
      <w:r>
        <w:t xml:space="preserve"> capacity, not just a customer list. Passive consumers give us a book; dispatchable value requires storage, sheddable load and controls under management. The journey is therefore: 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t xml:space="preserve">Win customers with the Stage-1 transition service (low capital, high urgency).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t xml:space="preserve">Convert that base into controllable assets — deploy/contract storage and enroll flexible loads (Stage 2).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t xml:space="preserve">Aggregate the controllable portfolio and face the market as a registered VPP / load aggregator (Stage 3).</w:t>
      </w:r>
    </w:p>
    <w:p>
      <w:pPr>
        <w:spacing w:after="130" w:before="0" w:line="278"/>
      </w:pPr>
      <w:r>
        <w:t xml:space="preserve">Step 2 is the real capital and execution lift, and the point where financing partners (for storage capex) and the EMC model matter most.</w:t>
      </w:r>
    </w:p>
    <w:p>
      <w:pPr>
        <w:pStyle w:val="Heading1"/>
      </w:pPr>
      <w:r>
        <w:t xml:space="preserve">9.  Regulatory &amp; Licensing Path</w:t>
      </w:r>
    </w:p>
    <w:p>
      <w:pPr>
        <w:spacing w:after="130" w:before="0" w:line="278"/>
      </w:pPr>
      <w:r>
        <w:t xml:space="preserve">Market standing — not technology — is the gating barrier, and it belongs at the top of the plan: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Electricity retailer (售电公司) registration </w:t>
      </w:r>
      <w:r>
        <w:t xml:space="preserve">— likely required to procure/transact on customers' behalf and manage their participation. Build, partner, or acquire.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Load aggregator / VPP operator registration </w:t>
      </w:r>
      <w:r>
        <w:t xml:space="preserve">— required to bid aggregated capacity into spot/ancillary/demand-response markets.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</w:rPr>
        <w:t xml:space="preserve">Dynamic rule tracking </w:t>
      </w:r>
      <w:r>
        <w:t xml:space="preserve">— Guangdong (and each province) revise trading rules frequently; a standing “rule-tracking” function is a real operational requirement and a barrier that protects incumbents and well-prepared entrants alike.</w:t>
      </w:r>
    </w:p>
    <w:p>
      <w:pPr>
        <w:pStyle w:val="Heading1"/>
      </w:pPr>
      <w:r>
        <w:t xml:space="preserve">10.  Where the Current Technology Fits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rPr>
          <w:tblHeader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Capability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Status in repo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Stage it serves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BESS optimizer + backtester + market adapters + Parquet data pipeline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Built; solid architecture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Stages 2–3 (asset operation, VPP dispatch)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ML price/load forecaster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Stub (perfect-forecast fallback) — unbuilt core IP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Improves all stages; critical for 3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Customer-facing transition product (bill simulation, contract/hedge what-if, exposure dashboard)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Does not exist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Stage 1 — the revenue wedge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Aggregation / telemetry / dispatch platform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Does not exist</w:t>
            </w:r>
          </w:p>
        </w:tc>
        <w:tc>
          <w:tcPr>
            <w:tcW w:type="dxa" w:w="3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Stage 3 VPP</w:t>
            </w:r>
          </w:p>
        </w:tc>
      </w:tr>
    </w:tbl>
    <w:p>
      <w:pPr>
        <w:spacing w:after="130" w:before="0" w:line="278"/>
      </w:pPr>
      <w:r>
        <w:t xml:space="preserve">Implication: the engine for the later stages is largely in place, but the </w:t>
      </w:r>
      <w:r>
        <w:rPr>
          <w:b/>
          <w:bCs/>
        </w:rPr>
        <w:t xml:space="preserve">Stage-1 wedge product that earns the first revenue is the main build gap</w:t>
      </w:r>
      <w:r>
        <w:t xml:space="preserve"> — and it is lighter to build than the full agentic trader.</w:t>
      </w:r>
    </w:p>
    <w:p>
      <w:pPr>
        <w:pStyle w:val="Heading1"/>
      </w:pPr>
      <w:r>
        <w:t xml:space="preserve">11.  Roadmap &amp; Milestones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</w:rPr>
        <w:t xml:space="preserve">0–6 months — </w:t>
      </w:r>
      <w:r>
        <w:t xml:space="preserve">Build Stage-1 transition product; sign 3–5 design-partner sites (parks / flexible C&amp;I); scope retailer license path; pilot B2B with one small 售电公司.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</w:rPr>
        <w:t xml:space="preserve">6–12 months — </w:t>
      </w:r>
      <w:r>
        <w:t xml:space="preserve">Prove forecaster beats naive baselines on real data; convert pilots to paid; deploy first storage/controls under management (Stage 2).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</w:rPr>
        <w:t xml:space="preserve">12–24 months — </w:t>
      </w:r>
      <w:r>
        <w:t xml:space="preserve">Secure aggregator/VPP standing; aggregate first controllable portfolio; first VPP market participation (Stage 3).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</w:rPr>
        <w:t xml:space="preserve">24 months+ — </w:t>
      </w:r>
      <w:r>
        <w:t xml:space="preserve">Scale capacity; replicate the adapter-based playbook into Shandong / Shanxi / Inner Mongolia as their markets deepen.</w:t>
      </w:r>
    </w:p>
    <w:p>
      <w:pPr>
        <w:pStyle w:val="Heading1"/>
      </w:pPr>
      <w:r>
        <w:t xml:space="preserve">12.  Key Risks &amp; Mitigations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Licensing is the real gate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Treat retailer/aggregator standing as a Day-1 workstream; partner or acquire to shortcut.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Pain is duller for small agency-purchase users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Aim first at forced-participation large C&amp;I and parks who must act.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Genco-/grid-backed rivals build capability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Move fast on the customer land-grab; differentiate on storage + VPP, not just retail price.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VPP needs capital for controllable assets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Use EMC / financing partners for storage capex; don't balance-sheet it alone.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Per-province rule volatility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Adapter architecture + a dedicated rule-tracking function; turn it into a moat.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Composite talent is scarce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3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The same scarcity that creates the opportunity is a hiring risk for Brody — prioritize a power-trading + storage-ops core team early.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Forecasting edge unproven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2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Validate vs naive baselines before the trading narrative carries weight; Stage-1 revenue does not depend on it.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Sources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i/>
          <w:iCs/>
        </w:rPr>
        <w:t xml:space="preserve">Project Brody codebase, configuration and ingested Guangdong C&amp;I load + spot data — reviewed June 24, 2026</w:t>
      </w:r>
    </w:p>
    <w:p>
      <w:pPr>
        <w:pStyle w:val="ListParagraph"/>
        <w:numPr>
          <w:ilvl w:val="0"/>
          <w:numId w:val="2"/>
        </w:numPr>
        <w:spacing w:after="80" w:line="264"/>
      </w:pPr>
      <w:hyperlink w:history="1" r:id="rIdjb8mpeynuq5wng9skwg5u">
        <w:r>
          <w:rPr>
            <w:rStyle w:val="Hyperlink"/>
          </w:rPr>
          <w:t xml:space="preserve">Guangdong DRC — Southern (Guangdong-first) spot market implementation plan</w:t>
        </w:r>
      </w:hyperlink>
    </w:p>
    <w:p>
      <w:pPr>
        <w:pStyle w:val="ListParagraph"/>
        <w:numPr>
          <w:ilvl w:val="0"/>
          <w:numId w:val="2"/>
        </w:numPr>
        <w:spacing w:after="80" w:line="264"/>
      </w:pPr>
      <w:hyperlink w:history="1" r:id="rIdcq5spmui0xui8_lcnesyy">
        <w:r>
          <w:rPr>
            <w:rStyle w:val="Hyperlink"/>
          </w:rPr>
          <w:t xml:space="preserve">Guangdong DRC / Energy Bureau — 2025 electricity market trading notice</w:t>
        </w:r>
      </w:hyperlink>
    </w:p>
    <w:p>
      <w:pPr>
        <w:pStyle w:val="ListParagraph"/>
        <w:numPr>
          <w:ilvl w:val="0"/>
          <w:numId w:val="2"/>
        </w:numPr>
        <w:spacing w:after="80" w:line="264"/>
      </w:pPr>
      <w:hyperlink w:history="1" r:id="rIdwyp7j3eq1rhc7zzus2v_l">
        <w:r>
          <w:rPr>
            <w:rStyle w:val="Hyperlink"/>
          </w:rPr>
          <w:t xml:space="preserve">S&amp;P Global — Is China on track for a national unified power market by 2030?</w:t>
        </w:r>
      </w:hyperlink>
    </w:p>
    <w:p>
      <w:pPr>
        <w:pStyle w:val="ListParagraph"/>
        <w:numPr>
          <w:ilvl w:val="0"/>
          <w:numId w:val="2"/>
        </w:numPr>
        <w:spacing w:after="80" w:line="264"/>
      </w:pPr>
      <w:hyperlink w:history="1" r:id="rIdaguaiohc3_s1yzbsz4o19">
        <w:r>
          <w:rPr>
            <w:rStyle w:val="Hyperlink"/>
          </w:rPr>
          <w:t xml:space="preserve">RMI China — 2025 power market reform &amp; price system: ten trends</w:t>
        </w:r>
      </w:hyperlink>
    </w:p>
    <w:p>
      <w:pPr>
        <w:pStyle w:val="ListParagraph"/>
        <w:numPr>
          <w:ilvl w:val="0"/>
          <w:numId w:val="2"/>
        </w:numPr>
        <w:spacing w:after="80" w:line="264"/>
      </w:pPr>
      <w:hyperlink w:history="1" r:id="rId5aannzd2yu5qumfww7p6q">
        <w:r>
          <w:rPr>
            <w:rStyle w:val="Hyperlink"/>
          </w:rPr>
          <w:t xml:space="preserve">2026 售电公司的核心竞争力在哪里？ — 能源发展网</w:t>
        </w:r>
      </w:hyperlink>
    </w:p>
    <w:p>
      <w:pPr>
        <w:pStyle w:val="ListParagraph"/>
        <w:numPr>
          <w:ilvl w:val="0"/>
          <w:numId w:val="2"/>
        </w:numPr>
        <w:spacing w:after="80" w:line="264"/>
      </w:pPr>
      <w:hyperlink w:history="1" r:id="rId_hh5pbkr9mua_840gioxu">
        <w:r>
          <w:rPr>
            <w:rStyle w:val="Hyperlink"/>
          </w:rPr>
          <w:t xml:space="preserve">2026 工商储：套利时代终结，“能源资产运营”才是王道 — 世纪新能源网</w:t>
        </w:r>
      </w:hyperlink>
    </w:p>
    <w:p>
      <w:pPr>
        <w:pStyle w:val="ListParagraph"/>
        <w:numPr>
          <w:ilvl w:val="0"/>
          <w:numId w:val="2"/>
        </w:numPr>
        <w:spacing w:after="80" w:line="264"/>
      </w:pPr>
      <w:hyperlink w:history="1" r:id="rIdlbpryoxrijkipwr4myqas">
        <w:r>
          <w:rPr>
            <w:rStyle w:val="Hyperlink"/>
          </w:rPr>
          <w:t xml:space="preserve">VPPs: Market Mechanisms and Applications in China</w:t>
        </w:r>
      </w:hyperlink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95959"/>
        <w:sz w:val="16"/>
        <w:szCs w:val="16"/>
      </w:rPr>
      <w:t xml:space="preserve">Project Brody — Business Plan (Confidential)  •  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60" w:before="300"/>
      <w:outlineLvl w:val="0"/>
    </w:pPr>
    <w:rPr>
      <w:rFonts w:ascii="Calibri" w:cs="Calibri" w:eastAsia="Calibri" w:hAnsi="Calibri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Calibri" w:cs="Calibri" w:eastAsia="Calibri" w:hAnsi="Calibri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70" w:before="150"/>
      <w:outlineLvl w:val="2"/>
    </w:pPr>
    <w:rPr>
      <w:rFonts w:ascii="Calibri" w:cs="Calibri" w:eastAsia="Calibri" w:hAnsi="Calibri"/>
      <w:b/>
      <w:bCs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jb8mpeynuq5wng9skwg5u" Type="http://schemas.openxmlformats.org/officeDocument/2006/relationships/hyperlink" Target="http://drc.gd.gov.cn/ywtz/content/post_4273305.html" TargetMode="External"/><Relationship Id="rIdcq5spmui0xui8_lcnesyy" Type="http://schemas.openxmlformats.org/officeDocument/2006/relationships/hyperlink" Target="http://drc.gd.gov.cn/gdsnyj/gkmlpt/content/4/4582/post_4582746.html" TargetMode="External"/><Relationship Id="rIdwyp7j3eq1rhc7zzus2v_l" Type="http://schemas.openxmlformats.org/officeDocument/2006/relationships/hyperlink" Target="https://www.spglobal.com/commodityinsights/en/ci/research-analysis/is-china-on-track-for-a-national-unified-power-market-by-2030.html" TargetMode="External"/><Relationship Id="rIdaguaiohc3_s1yzbsz4o19" Type="http://schemas.openxmlformats.org/officeDocument/2006/relationships/hyperlink" Target="https://rmi.org.cn/wp-content/uploads/2025/05/final-0508-2025%E7%94%B5%E5%8A%9B%E5%B8%82%E5%9C%BA%E5%8C%96%E6%94%B9%E9%9D%A9%E4%B8%8E%E7%94%B5%E4%BB%B7%E4%BD%93%E7%B3%BB%E6%B4%9E%E5%AF%9F.pdf" TargetMode="External"/><Relationship Id="rId5aannzd2yu5qumfww7p6q" Type="http://schemas.openxmlformats.org/officeDocument/2006/relationships/hyperlink" Target="https://www.nationalee.com/newsinfo/8852353.html" TargetMode="External"/><Relationship Id="rId_hh5pbkr9mua_840gioxu" Type="http://schemas.openxmlformats.org/officeDocument/2006/relationships/hyperlink" Target="https://www.ne21.com/news/show-227950.html" TargetMode="External"/><Relationship Id="rIdlbpryoxrijkipwr4myqas" Type="http://schemas.openxmlformats.org/officeDocument/2006/relationships/hyperlink" Target="https://eudl.eu/pdf/10.4108/eai.23-2-2024.2345882" TargetMode="External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2026-06-24T08:11:52.381Z</dcterms:created>
  <dcterms:modified xsi:type="dcterms:W3CDTF">2026-06-24T08:11:52.381Z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